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7D5C69E0" w:rsidR="00297D75" w:rsidRDefault="00FE7AFE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297D75"/>
    <w:rsid w:val="0035032A"/>
    <w:rsid w:val="003A32F5"/>
    <w:rsid w:val="003C090E"/>
    <w:rsid w:val="003D76C6"/>
    <w:rsid w:val="00531962"/>
    <w:rsid w:val="006C4BA5"/>
    <w:rsid w:val="0073185A"/>
    <w:rsid w:val="007C7FF7"/>
    <w:rsid w:val="007D14E3"/>
    <w:rsid w:val="0088150F"/>
    <w:rsid w:val="008A5C4C"/>
    <w:rsid w:val="008E53E2"/>
    <w:rsid w:val="00930B02"/>
    <w:rsid w:val="009D7397"/>
    <w:rsid w:val="00A379A0"/>
    <w:rsid w:val="00AF5D6C"/>
    <w:rsid w:val="00B744B9"/>
    <w:rsid w:val="00D6493B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2024-05-16T17:06:00Z</dcterms:modified>
</cp:coreProperties>
</file>